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C5" w:rsidRDefault="007075C5" w:rsidP="002172B9">
      <w:pPr>
        <w:rPr>
          <w:rFonts w:cstheme="minorHAnsi"/>
          <w:b/>
          <w:bCs/>
          <w:sz w:val="32"/>
          <w:szCs w:val="26"/>
          <w:lang w:val="en-IN"/>
        </w:rPr>
      </w:pPr>
    </w:p>
    <w:p w:rsidR="005F5A6D" w:rsidRPr="00EC7186" w:rsidRDefault="00FC1DCA" w:rsidP="000D0C00">
      <w:pPr>
        <w:jc w:val="center"/>
        <w:rPr>
          <w:rFonts w:cstheme="minorHAnsi"/>
          <w:b/>
          <w:bCs/>
          <w:sz w:val="32"/>
          <w:szCs w:val="26"/>
          <w:lang w:val="en-IN"/>
        </w:rPr>
      </w:pPr>
      <w:r>
        <w:rPr>
          <w:rFonts w:cstheme="minorHAnsi"/>
          <w:b/>
          <w:bCs/>
          <w:sz w:val="32"/>
          <w:szCs w:val="26"/>
          <w:lang w:val="en-IN"/>
        </w:rPr>
        <w:t>ARBITRATION AGREEMENT FOR REFERENCE TO THE ARBITRATOR</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FC1DCA">
        <w:rPr>
          <w:rFonts w:cstheme="minorHAnsi"/>
          <w:sz w:val="24"/>
          <w:szCs w:val="22"/>
          <w:lang w:val="en-IN"/>
        </w:rPr>
        <w:t>Arbitration</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lastRenderedPageBreak/>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lastRenderedPageBreak/>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monitor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maintain and communicate a written travel policy to be used by (i)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lastRenderedPageBreak/>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 to enable the Party to fulfill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lastRenderedPageBreak/>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or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willful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The Travel Agency agrees to defend, indemnify, and hold harmless the Company from and against any all third party claims (or other actions that could lead to losses by the Company) that are based upon the Travel Agencys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Where personal service is made or where delivery is made by facsimile and a receipt thereof has been retained, any notice provided for or permitted in this Agreement will be deemed to have been given when received by the </w:t>
      </w:r>
      <w:r w:rsidRPr="00EC7186">
        <w:rPr>
          <w:rFonts w:cstheme="minorHAnsi"/>
          <w:sz w:val="24"/>
          <w:szCs w:val="22"/>
          <w:lang w:val="en-IN"/>
        </w:rPr>
        <w:lastRenderedPageBreak/>
        <w:t>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w:t>
      </w:r>
      <w:r w:rsidRPr="00EC7186">
        <w:rPr>
          <w:rFonts w:cstheme="minorHAnsi"/>
          <w:sz w:val="24"/>
          <w:szCs w:val="22"/>
          <w:lang w:val="en-IN"/>
        </w:rPr>
        <w:lastRenderedPageBreak/>
        <w:t xml:space="preserve">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hereto constitutes the entire agreement and understanding between the parties relating to the subject matter hereof, and supersedes all other agreements, oral or written, made between the parties with respect to </w:t>
      </w:r>
      <w:r w:rsidRPr="00EC7186">
        <w:rPr>
          <w:rFonts w:cstheme="minorHAnsi"/>
          <w:sz w:val="24"/>
          <w:szCs w:val="22"/>
          <w:lang w:val="en-IN"/>
        </w:rPr>
        <w:lastRenderedPageBreak/>
        <w:t>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77" w:rsidRDefault="009D1677" w:rsidP="000D0C00">
      <w:pPr>
        <w:spacing w:after="0" w:line="240" w:lineRule="auto"/>
      </w:pPr>
      <w:r>
        <w:separator/>
      </w:r>
    </w:p>
  </w:endnote>
  <w:endnote w:type="continuationSeparator" w:id="0">
    <w:p w:rsidR="009D1677" w:rsidRDefault="009D167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004208">
              <w:rPr>
                <w:b/>
                <w:sz w:val="24"/>
                <w:szCs w:val="24"/>
              </w:rPr>
              <w:fldChar w:fldCharType="begin"/>
            </w:r>
            <w:r>
              <w:rPr>
                <w:b/>
              </w:rPr>
              <w:instrText xml:space="preserve"> PAGE </w:instrText>
            </w:r>
            <w:r w:rsidR="00004208">
              <w:rPr>
                <w:b/>
                <w:sz w:val="24"/>
                <w:szCs w:val="24"/>
              </w:rPr>
              <w:fldChar w:fldCharType="separate"/>
            </w:r>
            <w:r w:rsidR="002172B9">
              <w:rPr>
                <w:b/>
                <w:noProof/>
              </w:rPr>
              <w:t>14</w:t>
            </w:r>
            <w:r w:rsidR="00004208">
              <w:rPr>
                <w:b/>
                <w:sz w:val="24"/>
                <w:szCs w:val="24"/>
              </w:rPr>
              <w:fldChar w:fldCharType="end"/>
            </w:r>
            <w:r>
              <w:t xml:space="preserve"> of </w:t>
            </w:r>
            <w:r w:rsidR="00004208">
              <w:rPr>
                <w:b/>
                <w:sz w:val="24"/>
                <w:szCs w:val="24"/>
              </w:rPr>
              <w:fldChar w:fldCharType="begin"/>
            </w:r>
            <w:r>
              <w:rPr>
                <w:b/>
              </w:rPr>
              <w:instrText xml:space="preserve"> NUMPAGES  </w:instrText>
            </w:r>
            <w:r w:rsidR="00004208">
              <w:rPr>
                <w:b/>
                <w:sz w:val="24"/>
                <w:szCs w:val="24"/>
              </w:rPr>
              <w:fldChar w:fldCharType="separate"/>
            </w:r>
            <w:r w:rsidR="002172B9">
              <w:rPr>
                <w:b/>
                <w:noProof/>
              </w:rPr>
              <w:t>14</w:t>
            </w:r>
            <w:r w:rsidR="00004208">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77" w:rsidRDefault="009D1677" w:rsidP="000D0C00">
      <w:pPr>
        <w:spacing w:after="0" w:line="240" w:lineRule="auto"/>
      </w:pPr>
      <w:r>
        <w:separator/>
      </w:r>
    </w:p>
  </w:footnote>
  <w:footnote w:type="continuationSeparator" w:id="0">
    <w:p w:rsidR="009D1677" w:rsidRDefault="009D1677"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04208"/>
    <w:rsid w:val="000B43FA"/>
    <w:rsid w:val="000D0C00"/>
    <w:rsid w:val="00167A3B"/>
    <w:rsid w:val="001D0527"/>
    <w:rsid w:val="001E158E"/>
    <w:rsid w:val="0020517A"/>
    <w:rsid w:val="002172B9"/>
    <w:rsid w:val="00254C9E"/>
    <w:rsid w:val="00275AC5"/>
    <w:rsid w:val="002B2454"/>
    <w:rsid w:val="002C7721"/>
    <w:rsid w:val="002F2C33"/>
    <w:rsid w:val="00324DA5"/>
    <w:rsid w:val="00337593"/>
    <w:rsid w:val="003E7700"/>
    <w:rsid w:val="004B13E8"/>
    <w:rsid w:val="004B6E15"/>
    <w:rsid w:val="004C6D63"/>
    <w:rsid w:val="005B2F67"/>
    <w:rsid w:val="005F5A6D"/>
    <w:rsid w:val="0063564F"/>
    <w:rsid w:val="00635E61"/>
    <w:rsid w:val="00665412"/>
    <w:rsid w:val="006E0B21"/>
    <w:rsid w:val="006F4512"/>
    <w:rsid w:val="007075C5"/>
    <w:rsid w:val="007817A0"/>
    <w:rsid w:val="00787813"/>
    <w:rsid w:val="007A3ED6"/>
    <w:rsid w:val="007E3E0D"/>
    <w:rsid w:val="008E2BCE"/>
    <w:rsid w:val="00922F81"/>
    <w:rsid w:val="0097520C"/>
    <w:rsid w:val="009D1677"/>
    <w:rsid w:val="009F1541"/>
    <w:rsid w:val="00A429D2"/>
    <w:rsid w:val="00B331D1"/>
    <w:rsid w:val="00B60FAF"/>
    <w:rsid w:val="00CB53C9"/>
    <w:rsid w:val="00CE04A0"/>
    <w:rsid w:val="00D2331A"/>
    <w:rsid w:val="00D84092"/>
    <w:rsid w:val="00E66E0F"/>
    <w:rsid w:val="00EC7186"/>
    <w:rsid w:val="00EE521D"/>
    <w:rsid w:val="00F74EDF"/>
    <w:rsid w:val="00F91B45"/>
    <w:rsid w:val="00FC1DCA"/>
    <w:rsid w:val="00FE1B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EB37"/>
  <w15:docId w15:val="{2A605032-81EE-4E63-BAB8-D38F80AC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1541"/>
    <w:rPr>
      <w:b/>
      <w:bCs/>
    </w:rPr>
  </w:style>
  <w:style w:type="character" w:styleId="Emphasis">
    <w:name w:val="Emphasis"/>
    <w:basedOn w:val="DefaultParagraphFont"/>
    <w:uiPriority w:val="20"/>
    <w:qFormat/>
    <w:rsid w:val="0066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14</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2022-03-10T07:29:00Z</dcterms:modified>
</cp:coreProperties>
</file>